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4409"/>
        <w:gridCol w:w="4765"/>
      </w:tblGrid>
      <w:tr w:rsidR="004933C9" w14:paraId="48F9882F" w14:textId="77777777" w:rsidTr="007B6211">
        <w:trPr>
          <w:trHeight w:val="2722"/>
        </w:trPr>
        <w:tc>
          <w:tcPr>
            <w:tcW w:w="4409" w:type="dxa"/>
          </w:tcPr>
          <w:p w14:paraId="4B099955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  <w:bookmarkStart w:id="0" w:name="_GoBack"/>
            <w:bookmarkEnd w:id="0"/>
          </w:p>
          <w:p w14:paraId="4A4C3575" w14:textId="1390CABC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2a+b</m:t>
                </m:r>
              </m:oMath>
            </m:oMathPara>
          </w:p>
          <w:p w14:paraId="68ABB2B3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1DF37E22" w14:textId="3910CE2D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213A908E" w14:textId="0176006F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a –b</m:t>
                </m:r>
              </m:oMath>
            </m:oMathPara>
          </w:p>
          <w:p w14:paraId="5EC865E2" w14:textId="77777777" w:rsidR="004933C9" w:rsidRPr="00DD0DC7" w:rsidRDefault="004933C9" w:rsidP="004933C9">
            <w:pPr>
              <w:jc w:val="center"/>
            </w:pPr>
          </w:p>
        </w:tc>
      </w:tr>
      <w:tr w:rsidR="004933C9" w14:paraId="23D0D51D" w14:textId="77777777" w:rsidTr="007B6211">
        <w:trPr>
          <w:trHeight w:val="2722"/>
        </w:trPr>
        <w:tc>
          <w:tcPr>
            <w:tcW w:w="4409" w:type="dxa"/>
          </w:tcPr>
          <w:p w14:paraId="27EA614C" w14:textId="43012DFD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65A35B80" w14:textId="41BEC716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3a+b</m:t>
                </m:r>
              </m:oMath>
            </m:oMathPara>
          </w:p>
          <w:p w14:paraId="46FA34DC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07CAC354" w14:textId="1141D3FB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08B4141B" w14:textId="273C176D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–a+3b</m:t>
                </m:r>
              </m:oMath>
            </m:oMathPara>
          </w:p>
          <w:p w14:paraId="7F741830" w14:textId="77777777" w:rsidR="004933C9" w:rsidRPr="00DD0DC7" w:rsidRDefault="004933C9" w:rsidP="004933C9">
            <w:pPr>
              <w:jc w:val="center"/>
            </w:pPr>
          </w:p>
        </w:tc>
      </w:tr>
      <w:tr w:rsidR="004933C9" w14:paraId="0773B1DA" w14:textId="77777777" w:rsidTr="007B6211">
        <w:trPr>
          <w:trHeight w:val="2722"/>
        </w:trPr>
        <w:tc>
          <w:tcPr>
            <w:tcW w:w="4409" w:type="dxa"/>
          </w:tcPr>
          <w:p w14:paraId="1D8C6DC3" w14:textId="0541B166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2F5B9C78" w14:textId="2F0927B6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4a+2b</m:t>
                </m:r>
              </m:oMath>
            </m:oMathPara>
          </w:p>
          <w:p w14:paraId="688E7E22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3D89D6B0" w14:textId="4D281EBB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6BFDECD6" w14:textId="265696AE" w:rsidR="004933C9" w:rsidRPr="00DD0DC7" w:rsidRDefault="00AF343F" w:rsidP="004933C9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5a-4b</m:t>
                </m:r>
              </m:oMath>
            </m:oMathPara>
          </w:p>
        </w:tc>
      </w:tr>
      <w:tr w:rsidR="004933C9" w14:paraId="09C3CB24" w14:textId="77777777" w:rsidTr="007B6211">
        <w:trPr>
          <w:trHeight w:val="2722"/>
        </w:trPr>
        <w:tc>
          <w:tcPr>
            <w:tcW w:w="4409" w:type="dxa"/>
          </w:tcPr>
          <w:p w14:paraId="7C7A9F14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0735CCE3" w14:textId="3433E121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2a-3b</m:t>
                </m:r>
              </m:oMath>
            </m:oMathPara>
          </w:p>
          <w:p w14:paraId="7F6613A2" w14:textId="7785F023" w:rsidR="004933C9" w:rsidRPr="00DD0DC7" w:rsidRDefault="004933C9" w:rsidP="004933C9"/>
        </w:tc>
        <w:tc>
          <w:tcPr>
            <w:tcW w:w="4765" w:type="dxa"/>
          </w:tcPr>
          <w:p w14:paraId="0A0C27EA" w14:textId="16B9F30E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0F63EB71" w14:textId="6EE47E39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3a+2b</m:t>
                </m:r>
              </m:oMath>
            </m:oMathPara>
          </w:p>
          <w:p w14:paraId="074C00B5" w14:textId="77777777" w:rsidR="004933C9" w:rsidRPr="00DD0DC7" w:rsidRDefault="004933C9" w:rsidP="004933C9">
            <w:pPr>
              <w:jc w:val="center"/>
            </w:pPr>
          </w:p>
        </w:tc>
      </w:tr>
      <w:tr w:rsidR="004933C9" w14:paraId="69592C70" w14:textId="77777777" w:rsidTr="007B6211">
        <w:trPr>
          <w:trHeight w:val="2722"/>
        </w:trPr>
        <w:tc>
          <w:tcPr>
            <w:tcW w:w="4409" w:type="dxa"/>
          </w:tcPr>
          <w:p w14:paraId="3754DE13" w14:textId="114AD4CE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4DD84902" w14:textId="3C7A16EB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ab</m:t>
                </m:r>
              </m:oMath>
            </m:oMathPara>
          </w:p>
          <w:p w14:paraId="7D759DDA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2435A304" w14:textId="6F4D9333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38BB9CCE" w14:textId="1BCA75A2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2ab</m:t>
                </m:r>
              </m:oMath>
            </m:oMathPara>
          </w:p>
          <w:p w14:paraId="107B6833" w14:textId="77777777" w:rsidR="004933C9" w:rsidRPr="00DD0DC7" w:rsidRDefault="004933C9" w:rsidP="004933C9">
            <w:pPr>
              <w:jc w:val="center"/>
            </w:pPr>
          </w:p>
        </w:tc>
      </w:tr>
      <w:tr w:rsidR="004933C9" w14:paraId="4E761544" w14:textId="77777777" w:rsidTr="007B6211">
        <w:trPr>
          <w:trHeight w:val="2722"/>
        </w:trPr>
        <w:tc>
          <w:tcPr>
            <w:tcW w:w="4409" w:type="dxa"/>
          </w:tcPr>
          <w:p w14:paraId="1D0AC292" w14:textId="54C10119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40D71482" w14:textId="2CC9953F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3ab</m:t>
                </m:r>
              </m:oMath>
            </m:oMathPara>
          </w:p>
          <w:p w14:paraId="1B8191FC" w14:textId="35A94A38" w:rsidR="004933C9" w:rsidRPr="00DD0DC7" w:rsidRDefault="004933C9" w:rsidP="004933C9"/>
        </w:tc>
        <w:tc>
          <w:tcPr>
            <w:tcW w:w="4765" w:type="dxa"/>
          </w:tcPr>
          <w:p w14:paraId="54CA3DB9" w14:textId="79537E89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6DAEBF7E" w14:textId="218BDD03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a3b</m:t>
                </m:r>
              </m:oMath>
            </m:oMathPara>
          </w:p>
          <w:p w14:paraId="63F52415" w14:textId="77777777" w:rsidR="004933C9" w:rsidRPr="00DD0DC7" w:rsidRDefault="004933C9" w:rsidP="004933C9">
            <w:pPr>
              <w:jc w:val="center"/>
            </w:pPr>
          </w:p>
        </w:tc>
      </w:tr>
      <w:tr w:rsidR="004933C9" w14:paraId="0C7672AD" w14:textId="77777777" w:rsidTr="007B6211">
        <w:trPr>
          <w:trHeight w:val="2722"/>
        </w:trPr>
        <w:tc>
          <w:tcPr>
            <w:tcW w:w="4409" w:type="dxa"/>
          </w:tcPr>
          <w:p w14:paraId="231AB12A" w14:textId="57602DD3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520B5B78" w14:textId="6E0D7E3B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a4b</m:t>
                </m:r>
              </m:oMath>
            </m:oMathPara>
          </w:p>
          <w:p w14:paraId="18C0E1D0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3AA3AC86" w14:textId="467F9628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341E60DB" w14:textId="35E7153A" w:rsidR="004933C9" w:rsidRPr="00DD0DC7" w:rsidRDefault="00AF343F" w:rsidP="004933C9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2ab-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2</m:t>
                    </m:r>
                  </m:sup>
                </m:sSup>
              </m:oMath>
            </m:oMathPara>
          </w:p>
        </w:tc>
      </w:tr>
      <w:tr w:rsidR="004933C9" w14:paraId="4211CE8E" w14:textId="77777777" w:rsidTr="007B6211">
        <w:trPr>
          <w:trHeight w:val="2722"/>
        </w:trPr>
        <w:tc>
          <w:tcPr>
            <w:tcW w:w="4409" w:type="dxa"/>
          </w:tcPr>
          <w:p w14:paraId="371A0468" w14:textId="77777777" w:rsidR="004933C9" w:rsidRPr="00DD0DC7" w:rsidRDefault="004933C9" w:rsidP="004933C9">
            <w:pPr>
              <w:jc w:val="center"/>
              <w:rPr>
                <w:sz w:val="72"/>
                <w:szCs w:val="72"/>
                <w:vertAlign w:val="superscript"/>
              </w:rPr>
            </w:pPr>
          </w:p>
          <w:p w14:paraId="7C27CE0A" w14:textId="5903BC7B" w:rsidR="004933C9" w:rsidRPr="00DD0DC7" w:rsidRDefault="006B233E" w:rsidP="004933C9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72"/>
                    <w:szCs w:val="72"/>
                    <w:vertAlign w:val="superscript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b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1E1841AF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239C875B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016CABB2" w14:textId="3936841F" w:rsidR="00AF343F" w:rsidRPr="00DD0DC7" w:rsidRDefault="006B233E" w:rsidP="00AF343F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2a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72"/>
                    <w:szCs w:val="72"/>
                    <w:vertAlign w:val="superscript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b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1C74A605" w14:textId="77777777" w:rsidR="004933C9" w:rsidRPr="00DD0DC7" w:rsidRDefault="004933C9" w:rsidP="004933C9">
            <w:pPr>
              <w:jc w:val="center"/>
            </w:pPr>
          </w:p>
        </w:tc>
      </w:tr>
      <w:tr w:rsidR="004933C9" w14:paraId="4E61BCF2" w14:textId="77777777" w:rsidTr="007B6211">
        <w:trPr>
          <w:trHeight w:val="2722"/>
        </w:trPr>
        <w:tc>
          <w:tcPr>
            <w:tcW w:w="4409" w:type="dxa"/>
          </w:tcPr>
          <w:p w14:paraId="402DF507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1F55FE69" w14:textId="57350272" w:rsidR="00AF343F" w:rsidRPr="00DD0DC7" w:rsidRDefault="006B233E" w:rsidP="00AF343F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72"/>
                    <w:szCs w:val="72"/>
                    <w:vertAlign w:val="superscript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2b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1C1D0DF5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21AD323E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2FA04DAC" w14:textId="2C3286C1" w:rsidR="00AF343F" w:rsidRPr="00DD0DC7" w:rsidRDefault="006B233E" w:rsidP="00AF343F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2a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72"/>
                    <w:szCs w:val="72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b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55EBB3E8" w14:textId="77777777" w:rsidR="004933C9" w:rsidRPr="00DD0DC7" w:rsidRDefault="004933C9" w:rsidP="004933C9">
            <w:pPr>
              <w:jc w:val="center"/>
            </w:pPr>
          </w:p>
        </w:tc>
      </w:tr>
      <w:tr w:rsidR="004933C9" w:rsidRPr="00DD0DC7" w14:paraId="2DE0177F" w14:textId="77777777" w:rsidTr="007B6211">
        <w:trPr>
          <w:trHeight w:val="2722"/>
        </w:trPr>
        <w:tc>
          <w:tcPr>
            <w:tcW w:w="4409" w:type="dxa"/>
          </w:tcPr>
          <w:p w14:paraId="169A7ED0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5B421FF8" w14:textId="72E764A9" w:rsidR="00AF343F" w:rsidRPr="00DD0DC7" w:rsidRDefault="006B233E" w:rsidP="00AF343F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72"/>
                    <w:szCs w:val="72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2b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4C6E4DAF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3EA71D59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2C1DB2F4" w14:textId="2FBA3B5F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2(a+b)</m:t>
                </m:r>
              </m:oMath>
            </m:oMathPara>
          </w:p>
          <w:p w14:paraId="0A670965" w14:textId="77777777" w:rsidR="004933C9" w:rsidRPr="00DD0DC7" w:rsidRDefault="004933C9" w:rsidP="004933C9">
            <w:pPr>
              <w:jc w:val="center"/>
            </w:pPr>
          </w:p>
        </w:tc>
      </w:tr>
      <w:tr w:rsidR="004933C9" w14:paraId="603773A5" w14:textId="77777777" w:rsidTr="007B6211">
        <w:trPr>
          <w:trHeight w:val="2722"/>
        </w:trPr>
        <w:tc>
          <w:tcPr>
            <w:tcW w:w="4409" w:type="dxa"/>
          </w:tcPr>
          <w:p w14:paraId="08F238A2" w14:textId="1B359EA9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4F735BFE" w14:textId="58768031" w:rsidR="004933C9" w:rsidRPr="00DD0DC7" w:rsidRDefault="006B233E" w:rsidP="004933C9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72"/>
                            <w:szCs w:val="7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72"/>
                            <w:szCs w:val="72"/>
                          </w:rPr>
                          <m:t>a+b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179D0182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7D4F90B8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706FE165" w14:textId="3943D0CC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2(a-b)</m:t>
                </m:r>
              </m:oMath>
            </m:oMathPara>
          </w:p>
          <w:p w14:paraId="0F26D7F4" w14:textId="77777777" w:rsidR="004933C9" w:rsidRPr="00DD0DC7" w:rsidRDefault="004933C9" w:rsidP="004933C9">
            <w:pPr>
              <w:jc w:val="center"/>
            </w:pPr>
          </w:p>
        </w:tc>
      </w:tr>
      <w:tr w:rsidR="004933C9" w14:paraId="1D4F5C80" w14:textId="77777777" w:rsidTr="007B6211">
        <w:trPr>
          <w:trHeight w:val="2722"/>
        </w:trPr>
        <w:tc>
          <w:tcPr>
            <w:tcW w:w="4409" w:type="dxa"/>
          </w:tcPr>
          <w:p w14:paraId="4A5C7022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7A422377" w14:textId="4949C55A" w:rsidR="00AF343F" w:rsidRPr="00DD0DC7" w:rsidRDefault="006B233E" w:rsidP="00AF343F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72"/>
                            <w:szCs w:val="7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72"/>
                            <w:szCs w:val="72"/>
                          </w:rPr>
                          <m:t>a-b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4EF95EBE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4FB48B4B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3DED8CBE" w14:textId="11920934" w:rsidR="00AF343F" w:rsidRPr="00DD0DC7" w:rsidRDefault="006B233E" w:rsidP="00AF343F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72"/>
                            <w:szCs w:val="7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72"/>
                            <w:szCs w:val="72"/>
                          </w:rPr>
                          <m:t>2a-b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5C50A824" w14:textId="0A2B65D0" w:rsidR="004933C9" w:rsidRPr="00DD0DC7" w:rsidRDefault="004933C9" w:rsidP="004933C9">
            <w:pPr>
              <w:jc w:val="center"/>
            </w:pPr>
          </w:p>
        </w:tc>
      </w:tr>
      <w:tr w:rsidR="004933C9" w14:paraId="059F11AF" w14:textId="77777777" w:rsidTr="007B6211">
        <w:trPr>
          <w:trHeight w:val="2722"/>
        </w:trPr>
        <w:tc>
          <w:tcPr>
            <w:tcW w:w="4409" w:type="dxa"/>
          </w:tcPr>
          <w:p w14:paraId="089C51CD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6FFADAE5" w14:textId="64765DBC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2(a-b)+a</m:t>
                </m:r>
              </m:oMath>
            </m:oMathPara>
          </w:p>
          <w:p w14:paraId="05AC7097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43680BD3" w14:textId="32CEC5A9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099A759F" w14:textId="5AF168F9" w:rsidR="004933C9" w:rsidRPr="00DD0DC7" w:rsidRDefault="00AF343F" w:rsidP="004933C9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a+2b</m:t>
                </m:r>
              </m:oMath>
            </m:oMathPara>
          </w:p>
        </w:tc>
      </w:tr>
      <w:tr w:rsidR="004933C9" w14:paraId="146E4FC4" w14:textId="77777777" w:rsidTr="007B6211">
        <w:trPr>
          <w:trHeight w:val="2722"/>
        </w:trPr>
        <w:tc>
          <w:tcPr>
            <w:tcW w:w="4409" w:type="dxa"/>
          </w:tcPr>
          <w:p w14:paraId="42760D8A" w14:textId="26FC1189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768E8656" w14:textId="16E77890" w:rsidR="004933C9" w:rsidRPr="004933C9" w:rsidRDefault="00AF343F" w:rsidP="004933C9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a+3b</m:t>
                </m:r>
              </m:oMath>
            </m:oMathPara>
          </w:p>
        </w:tc>
        <w:tc>
          <w:tcPr>
            <w:tcW w:w="4765" w:type="dxa"/>
          </w:tcPr>
          <w:p w14:paraId="03AF84D0" w14:textId="77777777" w:rsidR="004933C9" w:rsidRDefault="004933C9" w:rsidP="004933C9">
            <w:pPr>
              <w:tabs>
                <w:tab w:val="left" w:pos="1425"/>
                <w:tab w:val="center" w:pos="2214"/>
              </w:tabs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ab/>
            </w:r>
          </w:p>
          <w:p w14:paraId="54C493FE" w14:textId="048C6703" w:rsidR="004933C9" w:rsidRPr="004933C9" w:rsidRDefault="004933C9" w:rsidP="004933C9">
            <w:pPr>
              <w:tabs>
                <w:tab w:val="left" w:pos="1425"/>
                <w:tab w:val="center" w:pos="2214"/>
              </w:tabs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ab/>
            </w:r>
            <m:oMath>
              <m:r>
                <w:rPr>
                  <w:rFonts w:ascii="Cambria Math" w:hAnsi="Cambria Math"/>
                  <w:sz w:val="72"/>
                  <w:szCs w:val="72"/>
                </w:rPr>
                <m:t>a2b</m:t>
              </m:r>
            </m:oMath>
          </w:p>
        </w:tc>
      </w:tr>
    </w:tbl>
    <w:p w14:paraId="311A2CC7" w14:textId="77777777" w:rsidR="004933C9" w:rsidRDefault="004933C9" w:rsidP="004933C9">
      <w:pPr>
        <w:rPr>
          <w:sz w:val="72"/>
          <w:szCs w:val="72"/>
        </w:rPr>
      </w:pPr>
    </w:p>
    <w:p w14:paraId="5434AE93" w14:textId="77777777" w:rsidR="004933C9" w:rsidRDefault="004933C9" w:rsidP="004933C9">
      <w:pPr>
        <w:rPr>
          <w:sz w:val="72"/>
          <w:szCs w:val="72"/>
        </w:rPr>
      </w:pPr>
    </w:p>
    <w:p w14:paraId="2EB368CA" w14:textId="2B453BEF" w:rsidR="24DFFAAB" w:rsidRDefault="24DFFAAB" w:rsidP="004933C9"/>
    <w:sectPr w:rsidR="24DFFAAB" w:rsidSect="00DD5F92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738CBE" w14:textId="77777777" w:rsidR="006B233E" w:rsidRDefault="006B233E" w:rsidP="005D3B54">
      <w:r>
        <w:separator/>
      </w:r>
    </w:p>
  </w:endnote>
  <w:endnote w:type="continuationSeparator" w:id="0">
    <w:p w14:paraId="649681BE" w14:textId="77777777" w:rsidR="006B233E" w:rsidRDefault="006B233E" w:rsidP="005D3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408938"/>
      <w:docPartObj>
        <w:docPartGallery w:val="Page Numbers (Bottom of Page)"/>
        <w:docPartUnique/>
      </w:docPartObj>
    </w:sdtPr>
    <w:sdtEndPr/>
    <w:sdtContent>
      <w:p w14:paraId="23E28C43" w14:textId="1D96A204" w:rsidR="005D3B54" w:rsidRDefault="005D3B54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D44">
          <w:rPr>
            <w:noProof/>
          </w:rPr>
          <w:t>1</w:t>
        </w:r>
        <w:r>
          <w:fldChar w:fldCharType="end"/>
        </w:r>
      </w:p>
    </w:sdtContent>
  </w:sdt>
  <w:p w14:paraId="740CD68B" w14:textId="77777777" w:rsidR="005D3B54" w:rsidRDefault="005D3B54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8DE58" w14:textId="77777777" w:rsidR="006B233E" w:rsidRDefault="006B233E" w:rsidP="005D3B54">
      <w:r>
        <w:separator/>
      </w:r>
    </w:p>
  </w:footnote>
  <w:footnote w:type="continuationSeparator" w:id="0">
    <w:p w14:paraId="11BCF7D7" w14:textId="77777777" w:rsidR="006B233E" w:rsidRDefault="006B233E" w:rsidP="005D3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277E"/>
    <w:multiLevelType w:val="hybridMultilevel"/>
    <w:tmpl w:val="B3240C7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49BA31B3"/>
    <w:multiLevelType w:val="hybridMultilevel"/>
    <w:tmpl w:val="C310F8FE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505E7300"/>
    <w:multiLevelType w:val="hybridMultilevel"/>
    <w:tmpl w:val="51B4EFF6"/>
    <w:lvl w:ilvl="0" w:tplc="5EEE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7288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8C21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2CBF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5E0A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1A7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DEA0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A84E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6C34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130BC3"/>
    <w:multiLevelType w:val="hybridMultilevel"/>
    <w:tmpl w:val="ADBA658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A30FA7"/>
    <w:multiLevelType w:val="hybridMultilevel"/>
    <w:tmpl w:val="6CB4BA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17"/>
  </w:num>
  <w:num w:numId="11">
    <w:abstractNumId w:val="5"/>
  </w:num>
  <w:num w:numId="12">
    <w:abstractNumId w:val="7"/>
  </w:num>
  <w:num w:numId="13">
    <w:abstractNumId w:val="15"/>
  </w:num>
  <w:num w:numId="14">
    <w:abstractNumId w:val="16"/>
  </w:num>
  <w:num w:numId="15">
    <w:abstractNumId w:val="0"/>
  </w:num>
  <w:num w:numId="16">
    <w:abstractNumId w:val="9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20794"/>
    <w:rsid w:val="00040B1F"/>
    <w:rsid w:val="000457A7"/>
    <w:rsid w:val="00081253"/>
    <w:rsid w:val="000C50E5"/>
    <w:rsid w:val="00125F95"/>
    <w:rsid w:val="00126A47"/>
    <w:rsid w:val="00154F5A"/>
    <w:rsid w:val="00165214"/>
    <w:rsid w:val="00173C0B"/>
    <w:rsid w:val="001D7E04"/>
    <w:rsid w:val="002855D1"/>
    <w:rsid w:val="00291E99"/>
    <w:rsid w:val="002F55AD"/>
    <w:rsid w:val="002F5E86"/>
    <w:rsid w:val="00320177"/>
    <w:rsid w:val="00327767"/>
    <w:rsid w:val="00346B81"/>
    <w:rsid w:val="003571CC"/>
    <w:rsid w:val="003A422D"/>
    <w:rsid w:val="003B3B17"/>
    <w:rsid w:val="003C002D"/>
    <w:rsid w:val="003E743B"/>
    <w:rsid w:val="004317BA"/>
    <w:rsid w:val="004933C9"/>
    <w:rsid w:val="00495CDD"/>
    <w:rsid w:val="00504E5E"/>
    <w:rsid w:val="00531B1B"/>
    <w:rsid w:val="00544777"/>
    <w:rsid w:val="00551435"/>
    <w:rsid w:val="00575E45"/>
    <w:rsid w:val="00591AFF"/>
    <w:rsid w:val="005D3B54"/>
    <w:rsid w:val="0061137C"/>
    <w:rsid w:val="00613E41"/>
    <w:rsid w:val="00645AB6"/>
    <w:rsid w:val="006A2151"/>
    <w:rsid w:val="006B233E"/>
    <w:rsid w:val="006E26A4"/>
    <w:rsid w:val="006E4A03"/>
    <w:rsid w:val="00740E3F"/>
    <w:rsid w:val="0075005D"/>
    <w:rsid w:val="00751E9A"/>
    <w:rsid w:val="00763367"/>
    <w:rsid w:val="0078206C"/>
    <w:rsid w:val="007B6211"/>
    <w:rsid w:val="007D53EA"/>
    <w:rsid w:val="00872D5F"/>
    <w:rsid w:val="0088739B"/>
    <w:rsid w:val="008F05DE"/>
    <w:rsid w:val="009732F6"/>
    <w:rsid w:val="009E0D66"/>
    <w:rsid w:val="00A528B7"/>
    <w:rsid w:val="00A9109E"/>
    <w:rsid w:val="00A9455B"/>
    <w:rsid w:val="00AB1045"/>
    <w:rsid w:val="00AF343F"/>
    <w:rsid w:val="00B76C12"/>
    <w:rsid w:val="00BB319D"/>
    <w:rsid w:val="00BC54BB"/>
    <w:rsid w:val="00BF582B"/>
    <w:rsid w:val="00C07A37"/>
    <w:rsid w:val="00C34D44"/>
    <w:rsid w:val="00C46B4E"/>
    <w:rsid w:val="00C46FBA"/>
    <w:rsid w:val="00C65B5E"/>
    <w:rsid w:val="00C731EF"/>
    <w:rsid w:val="00CB34AB"/>
    <w:rsid w:val="00CE39C8"/>
    <w:rsid w:val="00D16E6A"/>
    <w:rsid w:val="00D34289"/>
    <w:rsid w:val="00DA4DB1"/>
    <w:rsid w:val="00DC5457"/>
    <w:rsid w:val="00DD5F92"/>
    <w:rsid w:val="00DF7C65"/>
    <w:rsid w:val="00E4063A"/>
    <w:rsid w:val="00E50FC5"/>
    <w:rsid w:val="00E82AE9"/>
    <w:rsid w:val="00EE180B"/>
    <w:rsid w:val="00F33EE7"/>
    <w:rsid w:val="00F40BE8"/>
    <w:rsid w:val="00FA613D"/>
    <w:rsid w:val="00FC4297"/>
    <w:rsid w:val="00FD2E14"/>
    <w:rsid w:val="24DFF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873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character" w:styleId="Hyperkobling">
    <w:name w:val="Hyperlink"/>
    <w:basedOn w:val="Standardskriftforavsnitt"/>
    <w:uiPriority w:val="99"/>
    <w:unhideWhenUsed/>
    <w:rsid w:val="00CE39C8"/>
    <w:rPr>
      <w:color w:val="0563C1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CE39C8"/>
    <w:rPr>
      <w:color w:val="954F72" w:themeColor="followedHyperlink"/>
      <w:u w:val="single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88739B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nb-NO" w:eastAsia="nb-NO"/>
    </w:rPr>
  </w:style>
  <w:style w:type="table" w:styleId="Tabellrutenett">
    <w:name w:val="Table Grid"/>
    <w:basedOn w:val="Vanligtabell"/>
    <w:uiPriority w:val="59"/>
    <w:rsid w:val="004933C9"/>
    <w:rPr>
      <w:sz w:val="22"/>
      <w:szCs w:val="22"/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5D3B54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5D3B54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5D3B54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5D3B54"/>
    <w:rPr>
      <w:rFonts w:eastAsiaTheme="minorEastAsia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AF343F"/>
    <w:rPr>
      <w:color w:val="80808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C34D44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C34D44"/>
    <w:rPr>
      <w:rFonts w:ascii="Tahoma" w:eastAsiaTheme="minorEastAsia" w:hAnsi="Tahoma" w:cs="Tahoma"/>
      <w:sz w:val="16"/>
      <w:szCs w:val="16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873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character" w:styleId="Hyperkobling">
    <w:name w:val="Hyperlink"/>
    <w:basedOn w:val="Standardskriftforavsnitt"/>
    <w:uiPriority w:val="99"/>
    <w:unhideWhenUsed/>
    <w:rsid w:val="00CE39C8"/>
    <w:rPr>
      <w:color w:val="0563C1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CE39C8"/>
    <w:rPr>
      <w:color w:val="954F72" w:themeColor="followedHyperlink"/>
      <w:u w:val="single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88739B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nb-NO" w:eastAsia="nb-NO"/>
    </w:rPr>
  </w:style>
  <w:style w:type="table" w:styleId="Tabellrutenett">
    <w:name w:val="Table Grid"/>
    <w:basedOn w:val="Vanligtabell"/>
    <w:uiPriority w:val="59"/>
    <w:rsid w:val="004933C9"/>
    <w:rPr>
      <w:sz w:val="22"/>
      <w:szCs w:val="22"/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5D3B54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5D3B54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5D3B54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5D3B54"/>
    <w:rPr>
      <w:rFonts w:eastAsiaTheme="minorEastAsia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AF343F"/>
    <w:rPr>
      <w:color w:val="80808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C34D44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C34D44"/>
    <w:rPr>
      <w:rFonts w:ascii="Tahoma" w:eastAsiaTheme="minorEastAsia" w:hAnsi="Tahoma" w:cs="Tahoma"/>
      <w:sz w:val="16"/>
      <w:szCs w:val="16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8BE58-FFFA-40F7-B0C3-FA434D391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 H. Johansen</dc:creator>
  <cp:lastModifiedBy>Jon Inge Kolden</cp:lastModifiedBy>
  <cp:revision>2</cp:revision>
  <dcterms:created xsi:type="dcterms:W3CDTF">2017-03-30T07:38:00Z</dcterms:created>
  <dcterms:modified xsi:type="dcterms:W3CDTF">2017-03-30T07:38:00Z</dcterms:modified>
</cp:coreProperties>
</file>